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3515"/>
        <w:gridCol w:w="5556"/>
      </w:tblGrid>
      <w:tr>
        <w:tc>
          <w:tcPr>
            <w:tcW w:type="dxa" w:w="4535"/>
          </w:tcPr>
          <w:p>
            <w:pPr>
              <w:jc w:val="center"/>
            </w:pPr>
            <w:r/>
            <w:r>
              <w:rPr>
                <w:sz w:val="24"/>
              </w:rPr>
              <w:t>BỘ Y TẾ</w:t>
            </w:r>
          </w:p>
          <w:p>
            <w:pPr>
              <w:jc w:val="center"/>
            </w:pPr>
            <w:r>
              <w:rPr>
                <w:b/>
                <w:sz w:val="24"/>
              </w:rPr>
              <w:t>BỆNH VIỆN TRUNG ƯƠNG GIẢ</w:t>
            </w:r>
          </w:p>
          <w:p>
            <w:pPr>
              <w:jc w:val="center"/>
            </w:pPr>
            <w:r>
              <w:rPr>
                <w:sz w:val="22"/>
              </w:rPr>
              <w:t>_______________</w:t>
            </w:r>
          </w:p>
        </w:tc>
        <w:tc>
          <w:tcPr>
            <w:tcW w:type="dxa" w:w="4535"/>
          </w:tcPr>
          <w:p>
            <w:pPr>
              <w:jc w:val="center"/>
            </w:pPr>
            <w:r>
              <w:rPr>
                <w:b/>
                <w:sz w:val="24"/>
              </w:rPr>
              <w:t>CỘNG HÒA XÃ HỘI CHỦ NGHĨA VIỆT NAM</w:t>
            </w:r>
          </w:p>
          <w:p>
            <w:pPr>
              <w:jc w:val="center"/>
            </w:pPr>
            <w:r>
              <w:rPr>
                <w:b/>
                <w:sz w:val="26"/>
              </w:rPr>
              <w:t>Độc lập - Tự do - Hạnh phúc</w:t>
            </w:r>
          </w:p>
          <w:p>
            <w:pPr>
              <w:jc w:val="center"/>
            </w:pPr>
            <w:r>
              <w:rPr>
                <w:sz w:val="22"/>
              </w:rPr>
              <w:t>______________________________</w:t>
            </w:r>
          </w:p>
        </w:tc>
      </w:tr>
      <w:tr>
        <w:tc>
          <w:tcPr>
            <w:tcW w:type="dxa" w:w="4535"/>
          </w:tcPr>
          <w:p>
            <w:pPr>
              <w:jc w:val="center"/>
            </w:pPr>
          </w:p>
        </w:tc>
        <w:tc>
          <w:tcPr>
            <w:tcW w:type="dxa" w:w="4535"/>
          </w:tcPr>
          <w:p>
            <w:pPr>
              <w:jc w:val="center"/>
            </w:pPr>
            <w:r>
              <w:rPr>
                <w:i/>
                <w:sz w:val="25"/>
              </w:rPr>
              <w:t>TP. Giả, tháng 7 năm 2026</w:t>
            </w:r>
          </w:p>
        </w:tc>
      </w:tr>
    </w:tbl>
    <w:p/>
    <w:p>
      <w:pPr>
        <w:spacing w:after="80"/>
        <w:jc w:val="center"/>
      </w:pPr>
      <w:r>
        <w:rPr>
          <w:rFonts w:ascii="Times New Roman" w:hAnsi="Times New Roman"/>
          <w:b/>
          <w:i w:val="0"/>
          <w:sz w:val="28"/>
        </w:rPr>
        <w:t>HƯỚNG DẪN DÀNH CHO NGƯỜI BỆNH VÀ NGƯỜI NHÀ</w:t>
      </w:r>
    </w:p>
    <w:p>
      <w:pPr>
        <w:spacing w:after="80"/>
        <w:jc w:val="center"/>
      </w:pPr>
      <w:r>
        <w:rPr>
          <w:rFonts w:ascii="Times New Roman" w:hAnsi="Times New Roman"/>
          <w:b/>
          <w:i w:val="0"/>
          <w:sz w:val="26"/>
        </w:rPr>
        <w:t>KHI ĐIỀU TRỊ NỘI TRÚ TẠI BỆNH VIỆN TRUNG ƯƠNG GIẢ</w:t>
      </w:r>
    </w:p>
    <w:p>
      <w:pPr>
        <w:spacing w:after="80"/>
        <w:jc w:val="center"/>
      </w:pPr>
      <w:r>
        <w:rPr>
          <w:rFonts w:ascii="Times New Roman" w:hAnsi="Times New Roman"/>
          <w:b w:val="0"/>
          <w:i/>
          <w:sz w:val="24"/>
        </w:rPr>
        <w:t>(Bản 2026 – Phòng Công tác xã hội biên soạn, áp dụng từ 01/7/2026)</w:t>
      </w:r>
    </w:p>
    <w:p/>
    <w:p>
      <w:pPr>
        <w:spacing w:after="80"/>
        <w:ind w:firstLine="680"/>
        <w:jc w:val="both"/>
      </w:pPr>
      <w:r>
        <w:rPr>
          <w:rFonts w:ascii="Times New Roman" w:hAnsi="Times New Roman"/>
          <w:b w:val="0"/>
          <w:i w:val="0"/>
          <w:sz w:val="26"/>
        </w:rPr>
        <w:t>Bệnh viện Trung ương Giả xin chào mừng Quý người bệnh và gia đình. Tài liệu này hướng dẫn những việc cần biết từ khi nhập viện đến khi ra viện tại cơ sở chính (Số 16 đường Nguyễn Du, phường Hòa Bình, TP. Giả) và Cơ sở 2 (xã Giả Phong). Mọi thắc mắc xin liên hệ Phòng Công tác xã hội tại sảnh Khoa Khám bệnh, điện thoại 0238.3.822.107, hoặc điều dưỡng trưởng khoa điều trị.</w:t>
      </w:r>
    </w:p>
    <w:p>
      <w:pPr>
        <w:spacing w:after="80"/>
      </w:pPr>
      <w:r>
        <w:rPr>
          <w:rFonts w:ascii="Times New Roman" w:hAnsi="Times New Roman"/>
          <w:b/>
          <w:i w:val="0"/>
          <w:sz w:val="26"/>
        </w:rPr>
        <w:t>1. THỦ TỤC NHẬP VIỆN</w:t>
      </w:r>
    </w:p>
    <w:p>
      <w:pPr>
        <w:spacing w:after="80"/>
        <w:ind w:firstLine="680"/>
        <w:jc w:val="both"/>
      </w:pPr>
      <w:r>
        <w:rPr>
          <w:rFonts w:ascii="Times New Roman" w:hAnsi="Times New Roman"/>
          <w:b w:val="0"/>
          <w:i w:val="0"/>
          <w:sz w:val="26"/>
        </w:rPr>
        <w:t>Người bệnh có chỉ định nhập viện được điều dưỡng Khoa Khám bệnh hoặc Khoa Cấp cứu hướng dẫn đến quầy nhập viện (quầy số 6, tầng 1 nhà A) làm thủ tục. Xuất trình CCCD, thẻ BHYT (hoặc VssID/VNeID), giấy chuyển tuyến (nếu có) và giấy hẹn tái khám (nếu có). Người bệnh dưới 6 tuổi xuất trình giấy khai sinh.</w:t>
      </w:r>
    </w:p>
    <w:p>
      <w:pPr>
        <w:spacing w:after="80"/>
        <w:ind w:firstLine="680"/>
        <w:jc w:val="both"/>
      </w:pPr>
      <w:r>
        <w:rPr>
          <w:rFonts w:ascii="Times New Roman" w:hAnsi="Times New Roman"/>
          <w:b w:val="0"/>
          <w:i w:val="0"/>
          <w:sz w:val="26"/>
        </w:rPr>
        <w:t>Sau khi nhập viện, người bệnh được cấp vòng đeo tay định danh (mã người bệnh, họ tên, năm sinh, khoa). Vui lòng đeo vòng trong suốt thời gian điều trị và kiểm tra họ tên trước mỗi lần dùng thuốc, làm xét nghiệm, phẫu thuật.</w:t>
      </w:r>
    </w:p>
    <w:p>
      <w:pPr>
        <w:spacing w:after="80"/>
        <w:ind w:firstLine="680"/>
        <w:jc w:val="both"/>
      </w:pPr>
      <w:r>
        <w:rPr>
          <w:rFonts w:ascii="Times New Roman" w:hAnsi="Times New Roman"/>
          <w:b w:val="0"/>
          <w:i w:val="0"/>
          <w:sz w:val="26"/>
        </w:rPr>
        <w:t>Người bệnh BHYT nhập viện cấp cứu không cần giấy chuyển tuyến; người bệnh có giấy hẹn tái khám trong 10 ngày được hưởng BHYT đúng tuyến theo quy định.</w:t>
      </w:r>
    </w:p>
    <w:p>
      <w:pPr>
        <w:spacing w:after="80"/>
      </w:pPr>
      <w:r>
        <w:rPr>
          <w:rFonts w:ascii="Times New Roman" w:hAnsi="Times New Roman"/>
          <w:b/>
          <w:i w:val="0"/>
          <w:sz w:val="26"/>
        </w:rPr>
        <w:t>2. TẠM ỨNG VIỆN PHÍ</w:t>
      </w:r>
    </w:p>
    <w:p>
      <w:pPr>
        <w:spacing w:after="80"/>
        <w:ind w:firstLine="680"/>
        <w:jc w:val="both"/>
      </w:pPr>
      <w:r>
        <w:rPr>
          <w:rFonts w:ascii="Times New Roman" w:hAnsi="Times New Roman"/>
          <w:b w:val="0"/>
          <w:i w:val="0"/>
          <w:sz w:val="26"/>
        </w:rPr>
        <w:t>Khi nhập viện, người bệnh (hoặc người nhà) nộp tạm ứng viện phí tại Phòng Tài chính kế toán (quầy 5–8, tầng 1 nhà A; Cơ sở 2: quầy 2 sảnh chính) theo mức sau:</w:t>
      </w:r>
    </w:p>
    <w:tbl>
      <w:tblPr>
        <w:tblStyle w:val="TableGrid"/>
        <w:tblW w:type="auto" w:w="0"/>
        <w:tblLook w:firstColumn="1" w:firstRow="1" w:lastColumn="0" w:lastRow="0" w:noHBand="0" w:noVBand="1" w:val="04A0"/>
      </w:tblPr>
      <w:tblGrid>
        <w:gridCol w:w="2268"/>
        <w:gridCol w:w="2268"/>
        <w:gridCol w:w="2268"/>
        <w:gridCol w:w="2268"/>
      </w:tblGrid>
      <w:tr>
        <w:tc>
          <w:tcPr>
            <w:tcW w:type="dxa" w:w="567"/>
          </w:tcPr>
          <w:p>
            <w:pPr>
              <w:spacing w:after="0"/>
              <w:jc w:val="center"/>
            </w:pPr>
            <w:r/>
            <w:r>
              <w:rPr>
                <w:rFonts w:ascii="Times New Roman" w:hAnsi="Times New Roman"/>
                <w:b/>
                <w:sz w:val="22"/>
              </w:rPr>
              <w:t>STT</w:t>
            </w:r>
          </w:p>
        </w:tc>
        <w:tc>
          <w:tcPr>
            <w:tcW w:type="dxa" w:w="2835"/>
          </w:tcPr>
          <w:p>
            <w:pPr>
              <w:spacing w:after="0"/>
              <w:jc w:val="center"/>
            </w:pPr>
            <w:r/>
            <w:r>
              <w:rPr>
                <w:rFonts w:ascii="Times New Roman" w:hAnsi="Times New Roman"/>
                <w:b/>
                <w:sz w:val="22"/>
              </w:rPr>
              <w:t>Đối tượng</w:t>
            </w:r>
          </w:p>
        </w:tc>
        <w:tc>
          <w:tcPr>
            <w:tcW w:type="dxa" w:w="2041"/>
          </w:tcPr>
          <w:p>
            <w:pPr>
              <w:spacing w:after="0"/>
              <w:jc w:val="center"/>
            </w:pPr>
            <w:r/>
            <w:r>
              <w:rPr>
                <w:rFonts w:ascii="Times New Roman" w:hAnsi="Times New Roman"/>
                <w:b/>
                <w:sz w:val="22"/>
              </w:rPr>
              <w:t>Mức tạm ứng</w:t>
            </w:r>
          </w:p>
        </w:tc>
        <w:tc>
          <w:tcPr>
            <w:tcW w:type="dxa" w:w="3628"/>
          </w:tcPr>
          <w:p>
            <w:pPr>
              <w:spacing w:after="0"/>
              <w:jc w:val="center"/>
            </w:pPr>
            <w:r/>
            <w:r>
              <w:rPr>
                <w:rFonts w:ascii="Times New Roman" w:hAnsi="Times New Roman"/>
                <w:b/>
                <w:sz w:val="22"/>
              </w:rPr>
              <w:t>Ghi chú</w:t>
            </w:r>
          </w:p>
        </w:tc>
      </w:tr>
      <w:tr>
        <w:tc>
          <w:tcPr>
            <w:tcW w:type="dxa" w:w="567"/>
          </w:tcPr>
          <w:p>
            <w:pPr>
              <w:spacing w:after="0"/>
            </w:pPr>
            <w:r/>
            <w:r>
              <w:rPr>
                <w:rFonts w:ascii="Times New Roman" w:hAnsi="Times New Roman"/>
                <w:sz w:val="22"/>
              </w:rPr>
              <w:t>1</w:t>
            </w:r>
          </w:p>
        </w:tc>
        <w:tc>
          <w:tcPr>
            <w:tcW w:type="dxa" w:w="2835"/>
          </w:tcPr>
          <w:p>
            <w:pPr>
              <w:spacing w:after="0"/>
            </w:pPr>
            <w:r/>
            <w:r>
              <w:rPr>
                <w:rFonts w:ascii="Times New Roman" w:hAnsi="Times New Roman"/>
                <w:sz w:val="22"/>
              </w:rPr>
              <w:t>Người bệnh có BHYT</w:t>
            </w:r>
          </w:p>
        </w:tc>
        <w:tc>
          <w:tcPr>
            <w:tcW w:type="dxa" w:w="2041"/>
          </w:tcPr>
          <w:p>
            <w:pPr>
              <w:spacing w:after="0"/>
            </w:pPr>
            <w:r/>
            <w:r>
              <w:rPr>
                <w:rFonts w:ascii="Times New Roman" w:hAnsi="Times New Roman"/>
                <w:sz w:val="22"/>
              </w:rPr>
              <w:t>3.000.000 đồng</w:t>
            </w:r>
          </w:p>
        </w:tc>
        <w:tc>
          <w:tcPr>
            <w:tcW w:type="dxa" w:w="3628"/>
          </w:tcPr>
          <w:p>
            <w:pPr>
              <w:spacing w:after="0"/>
            </w:pPr>
            <w:r/>
            <w:r>
              <w:rPr>
                <w:rFonts w:ascii="Times New Roman" w:hAnsi="Times New Roman"/>
                <w:sz w:val="22"/>
              </w:rPr>
              <w:t>Điều trị nội khoa thông thường; đã trừ phần quỹ BHYT dự kiến thanh toán</w:t>
            </w:r>
          </w:p>
        </w:tc>
      </w:tr>
      <w:tr>
        <w:tc>
          <w:tcPr>
            <w:tcW w:type="dxa" w:w="567"/>
          </w:tcPr>
          <w:p>
            <w:pPr>
              <w:spacing w:after="0"/>
            </w:pPr>
            <w:r/>
            <w:r>
              <w:rPr>
                <w:rFonts w:ascii="Times New Roman" w:hAnsi="Times New Roman"/>
                <w:sz w:val="22"/>
              </w:rPr>
              <w:t>2</w:t>
            </w:r>
          </w:p>
        </w:tc>
        <w:tc>
          <w:tcPr>
            <w:tcW w:type="dxa" w:w="2835"/>
          </w:tcPr>
          <w:p>
            <w:pPr>
              <w:spacing w:after="0"/>
            </w:pPr>
            <w:r/>
            <w:r>
              <w:rPr>
                <w:rFonts w:ascii="Times New Roman" w:hAnsi="Times New Roman"/>
                <w:sz w:val="22"/>
              </w:rPr>
              <w:t>Người bệnh không có BHYT</w:t>
            </w:r>
          </w:p>
        </w:tc>
        <w:tc>
          <w:tcPr>
            <w:tcW w:type="dxa" w:w="2041"/>
          </w:tcPr>
          <w:p>
            <w:pPr>
              <w:spacing w:after="0"/>
            </w:pPr>
            <w:r/>
            <w:r>
              <w:rPr>
                <w:rFonts w:ascii="Times New Roman" w:hAnsi="Times New Roman"/>
                <w:sz w:val="22"/>
              </w:rPr>
              <w:t>10.000.000 đồng</w:t>
            </w:r>
          </w:p>
        </w:tc>
        <w:tc>
          <w:tcPr>
            <w:tcW w:type="dxa" w:w="3628"/>
          </w:tcPr>
          <w:p>
            <w:pPr>
              <w:spacing w:after="0"/>
            </w:pPr>
            <w:r/>
            <w:r>
              <w:rPr>
                <w:rFonts w:ascii="Times New Roman" w:hAnsi="Times New Roman"/>
                <w:sz w:val="22"/>
              </w:rPr>
              <w:t>Điều trị nội khoa thông thường</w:t>
            </w:r>
          </w:p>
        </w:tc>
      </w:tr>
      <w:tr>
        <w:tc>
          <w:tcPr>
            <w:tcW w:type="dxa" w:w="567"/>
          </w:tcPr>
          <w:p>
            <w:pPr>
              <w:spacing w:after="0"/>
            </w:pPr>
            <w:r/>
            <w:r>
              <w:rPr>
                <w:rFonts w:ascii="Times New Roman" w:hAnsi="Times New Roman"/>
                <w:sz w:val="22"/>
              </w:rPr>
              <w:t>3</w:t>
            </w:r>
          </w:p>
        </w:tc>
        <w:tc>
          <w:tcPr>
            <w:tcW w:type="dxa" w:w="2835"/>
          </w:tcPr>
          <w:p>
            <w:pPr>
              <w:spacing w:after="0"/>
            </w:pPr>
            <w:r/>
            <w:r>
              <w:rPr>
                <w:rFonts w:ascii="Times New Roman" w:hAnsi="Times New Roman"/>
                <w:sz w:val="22"/>
              </w:rPr>
              <w:t>Phẫu thuật theo yêu cầu</w:t>
            </w:r>
          </w:p>
        </w:tc>
        <w:tc>
          <w:tcPr>
            <w:tcW w:type="dxa" w:w="2041"/>
          </w:tcPr>
          <w:p>
            <w:pPr>
              <w:spacing w:after="0"/>
            </w:pPr>
            <w:r/>
            <w:r>
              <w:rPr>
                <w:rFonts w:ascii="Times New Roman" w:hAnsi="Times New Roman"/>
                <w:sz w:val="22"/>
              </w:rPr>
              <w:t>Tạm ứng theo bảng kê dự kiến</w:t>
            </w:r>
          </w:p>
        </w:tc>
        <w:tc>
          <w:tcPr>
            <w:tcW w:type="dxa" w:w="3628"/>
          </w:tcPr>
          <w:p>
            <w:pPr>
              <w:spacing w:after="0"/>
            </w:pPr>
            <w:r/>
            <w:r>
              <w:rPr>
                <w:rFonts w:ascii="Times New Roman" w:hAnsi="Times New Roman"/>
                <w:sz w:val="22"/>
              </w:rPr>
              <w:t>Khoa điều trị lập bảng kê chi phí dự kiến, người bệnh ký xác nhận trước phẫu thuật</w:t>
            </w:r>
          </w:p>
        </w:tc>
      </w:tr>
      <w:tr>
        <w:tc>
          <w:tcPr>
            <w:tcW w:type="dxa" w:w="567"/>
          </w:tcPr>
          <w:p>
            <w:pPr>
              <w:spacing w:after="0"/>
            </w:pPr>
            <w:r/>
            <w:r>
              <w:rPr>
                <w:rFonts w:ascii="Times New Roman" w:hAnsi="Times New Roman"/>
                <w:sz w:val="22"/>
              </w:rPr>
              <w:t>4</w:t>
            </w:r>
          </w:p>
        </w:tc>
        <w:tc>
          <w:tcPr>
            <w:tcW w:type="dxa" w:w="2835"/>
          </w:tcPr>
          <w:p>
            <w:pPr>
              <w:spacing w:after="0"/>
            </w:pPr>
            <w:r/>
            <w:r>
              <w:rPr>
                <w:rFonts w:ascii="Times New Roman" w:hAnsi="Times New Roman"/>
                <w:sz w:val="22"/>
              </w:rPr>
              <w:t>Người bệnh thuộc hộ nghèo, trẻ dưới 6 tuổi, người có công</w:t>
            </w:r>
          </w:p>
        </w:tc>
        <w:tc>
          <w:tcPr>
            <w:tcW w:type="dxa" w:w="2041"/>
          </w:tcPr>
          <w:p>
            <w:pPr>
              <w:spacing w:after="0"/>
            </w:pPr>
            <w:r/>
            <w:r>
              <w:rPr>
                <w:rFonts w:ascii="Times New Roman" w:hAnsi="Times New Roman"/>
                <w:sz w:val="22"/>
              </w:rPr>
              <w:t>Miễn tạm ứng</w:t>
            </w:r>
          </w:p>
        </w:tc>
        <w:tc>
          <w:tcPr>
            <w:tcW w:type="dxa" w:w="3628"/>
          </w:tcPr>
          <w:p>
            <w:pPr>
              <w:spacing w:after="0"/>
            </w:pPr>
            <w:r/>
            <w:r>
              <w:rPr>
                <w:rFonts w:ascii="Times New Roman" w:hAnsi="Times New Roman"/>
                <w:sz w:val="22"/>
              </w:rPr>
              <w:t>Xuất trình giấy tờ chứng minh đối tượng</w:t>
            </w:r>
          </w:p>
        </w:tc>
      </w:tr>
      <w:tr>
        <w:tc>
          <w:tcPr>
            <w:tcW w:type="dxa" w:w="567"/>
          </w:tcPr>
          <w:p>
            <w:pPr>
              <w:spacing w:after="0"/>
            </w:pPr>
            <w:r/>
            <w:r>
              <w:rPr>
                <w:rFonts w:ascii="Times New Roman" w:hAnsi="Times New Roman"/>
                <w:sz w:val="22"/>
              </w:rPr>
              <w:t>5</w:t>
            </w:r>
          </w:p>
        </w:tc>
        <w:tc>
          <w:tcPr>
            <w:tcW w:type="dxa" w:w="2835"/>
          </w:tcPr>
          <w:p>
            <w:pPr>
              <w:spacing w:after="0"/>
            </w:pPr>
            <w:r/>
            <w:r>
              <w:rPr>
                <w:rFonts w:ascii="Times New Roman" w:hAnsi="Times New Roman"/>
                <w:sz w:val="22"/>
              </w:rPr>
              <w:t>Người bệnh cấp cứu chưa có người nhà</w:t>
            </w:r>
          </w:p>
        </w:tc>
        <w:tc>
          <w:tcPr>
            <w:tcW w:type="dxa" w:w="2041"/>
          </w:tcPr>
          <w:p>
            <w:pPr>
              <w:spacing w:after="0"/>
            </w:pPr>
            <w:r/>
            <w:r>
              <w:rPr>
                <w:rFonts w:ascii="Times New Roman" w:hAnsi="Times New Roman"/>
                <w:sz w:val="22"/>
              </w:rPr>
              <w:t>Tạm ứng sau</w:t>
            </w:r>
          </w:p>
        </w:tc>
        <w:tc>
          <w:tcPr>
            <w:tcW w:type="dxa" w:w="3628"/>
          </w:tcPr>
          <w:p>
            <w:pPr>
              <w:spacing w:after="0"/>
            </w:pPr>
            <w:r/>
            <w:r>
              <w:rPr>
                <w:rFonts w:ascii="Times New Roman" w:hAnsi="Times New Roman"/>
                <w:sz w:val="22"/>
              </w:rPr>
              <w:t>Nộp trong 48 giờ kể từ khi ổn định; Phòng Công tác xã hội hỗ trợ</w:t>
            </w:r>
          </w:p>
        </w:tc>
      </w:tr>
    </w:tbl>
    <w:p>
      <w:pPr>
        <w:spacing w:after="80"/>
        <w:ind w:firstLine="680"/>
        <w:jc w:val="both"/>
      </w:pPr>
      <w:r>
        <w:rPr>
          <w:rFonts w:ascii="Times New Roman" w:hAnsi="Times New Roman"/>
          <w:b w:val="0"/>
          <w:i w:val="0"/>
          <w:sz w:val="26"/>
        </w:rPr>
        <w:t>Mức tạm ứng viện phí khi nhập viện – Người bệnh có BHYT: 3.000.000 đồng; không có BHYT: 10.000.000 đồng; phẫu thuật theo yêu cầu: tạm ứng theo bảng kê dự kiến. Khi chi phí điều trị vượt 80% số tiền tạm ứng, điều dưỡng khoa sẽ thông báo để người bệnh nộp bổ sung. Số tiền tạm ứng được trừ vào viện phí khi ra viện; phần thừa hoàn trả bằng tiền mặt hoặc chuyển khoản trong vòng 03 ngày làm việc.</w:t>
      </w:r>
    </w:p>
    <w:p>
      <w:pPr>
        <w:spacing w:after="80"/>
        <w:ind w:firstLine="680"/>
        <w:jc w:val="both"/>
      </w:pPr>
      <w:r>
        <w:rPr>
          <w:rFonts w:ascii="Times New Roman" w:hAnsi="Times New Roman"/>
          <w:b w:val="0"/>
          <w:i w:val="0"/>
          <w:sz w:val="26"/>
        </w:rPr>
        <w:t>Hình thức nộp: tiền mặt, thẻ ngân hàng (POS) tại quầy, quét mã QR trên phiếu tạm ứng, hoặc chuyển khoản. Tài khoản nộp viện phí (chuyển khoản): số TK 0238 0822 0160 tại Ngân hàng Giả Định – CN Hòa Bình, chủ TK: Bệnh viện Trung ương Giả; nội dung: Mã người bệnh + Họ tên. Sau khi chuyển khoản, vui lòng xuất trình biên lai điện tử tại quầy để nhận phiếu thu. Bệnh viện không thu tiền tại khoa phòng; mọi khoản thu đều có phiếu thu của Phòng Tài chính kế toán.</w:t>
      </w:r>
    </w:p>
    <w:p>
      <w:pPr>
        <w:spacing w:after="80"/>
      </w:pPr>
      <w:r>
        <w:rPr>
          <w:rFonts w:ascii="Times New Roman" w:hAnsi="Times New Roman"/>
          <w:b/>
          <w:i w:val="0"/>
          <w:sz w:val="26"/>
        </w:rPr>
        <w:t>3. ĐỒ DÙNG MANG THEO</w:t>
      </w:r>
    </w:p>
    <w:p>
      <w:pPr>
        <w:spacing w:after="80"/>
        <w:ind w:firstLine="680"/>
        <w:jc w:val="both"/>
      </w:pPr>
      <w:r>
        <w:rPr>
          <w:rFonts w:ascii="Times New Roman" w:hAnsi="Times New Roman"/>
          <w:b w:val="0"/>
          <w:i w:val="0"/>
          <w:sz w:val="26"/>
        </w:rPr>
        <w:t>Nên mang: CCCD, thẻ BHYT, các kết quả xét nghiệm, phim chụp, đơn thuốc đang dùng; 02 bộ quần áo cá nhân nhẹ, dép quai hậu, khăn mặt, bàn chải, kem đánh răng, cốc uống nước, ca nhựa, bình giữ nhiệt nhỏ; kính, máy trợ thính, răng giả (có hộp đựng); sạc điện thoại. Bệnh viện cấp quần áo người bệnh, chăn, ga, gối và thay 02 ngày/lần hoặc khi bẩn.</w:t>
      </w:r>
    </w:p>
    <w:p>
      <w:pPr>
        <w:spacing w:after="80"/>
        <w:ind w:firstLine="680"/>
        <w:jc w:val="both"/>
      </w:pPr>
      <w:r>
        <w:rPr>
          <w:rFonts w:ascii="Times New Roman" w:hAnsi="Times New Roman"/>
          <w:b w:val="0"/>
          <w:i w:val="0"/>
          <w:sz w:val="26"/>
        </w:rPr>
        <w:t>Không mang: tài sản có giá trị lớn, tiền mặt trên 5.000.000 đồng, đồ trang sức, bếp, ấm điện, bàn là, chất dễ cháy nổ, thú nuôi, đồ uống có cồn. Người bệnh không tự ý dùng thuốc, thực phẩm chức năng ngoài y lệnh.</w:t>
      </w:r>
    </w:p>
    <w:p>
      <w:pPr>
        <w:spacing w:after="80"/>
      </w:pPr>
      <w:r>
        <w:rPr>
          <w:rFonts w:ascii="Times New Roman" w:hAnsi="Times New Roman"/>
          <w:b/>
          <w:i w:val="0"/>
          <w:sz w:val="26"/>
        </w:rPr>
        <w:t>4. QUY ĐỊNH ĐỐI VỚI NGƯỜI NHÀ VÀ GIỜ THĂM BỆNH</w:t>
      </w:r>
    </w:p>
    <w:p>
      <w:pPr>
        <w:spacing w:after="80"/>
        <w:ind w:firstLine="680"/>
        <w:jc w:val="both"/>
      </w:pPr>
      <w:r>
        <w:rPr>
          <w:rFonts w:ascii="Times New Roman" w:hAnsi="Times New Roman"/>
          <w:b w:val="0"/>
          <w:i w:val="0"/>
          <w:sz w:val="26"/>
        </w:rPr>
        <w:t>Giờ thăm bệnh nội trú: 11:00–13:00 và 16:30–20:00 hằng ngày; mỗi lượt không quá 2 người; khoa Hồi sức tích cực chỉ 16:30–17:30 và thăm theo hướng dẫn của điều dưỡng (mặc áo choàng, rửa tay). Ngoài giờ thăm bệnh, mỗi người bệnh được 01 người nhà ở lại chăm sóc, đeo thẻ người nhà do khoa cấp (thẻ ký gửi CCCD, đặt cọc 100.000 đồng, hoàn trả khi ra viện).</w:t>
      </w:r>
    </w:p>
    <w:p>
      <w:pPr>
        <w:spacing w:after="80"/>
        <w:ind w:firstLine="680"/>
        <w:jc w:val="both"/>
      </w:pPr>
      <w:r>
        <w:rPr>
          <w:rFonts w:ascii="Times New Roman" w:hAnsi="Times New Roman"/>
          <w:b w:val="0"/>
          <w:i w:val="0"/>
          <w:sz w:val="26"/>
        </w:rPr>
        <w:t>Người nhà không vào khu vực phòng mổ, phòng hồi tỉnh, khu sơ sinh, khu cách ly; không tự ý điều chỉnh máy truyền dịch, máy thở, máy theo dõi; không hút thuốc trong toàn khuôn viên bệnh viện (phạt theo Nghị định 117/2020/NĐ-CP); giữ yên lặng sau 21:30. Trẻ em dưới 12 tuổi không nên vào thăm người bệnh.</w:t>
      </w:r>
    </w:p>
    <w:p>
      <w:pPr>
        <w:spacing w:after="80"/>
        <w:ind w:firstLine="680"/>
        <w:jc w:val="both"/>
      </w:pPr>
      <w:r>
        <w:rPr>
          <w:rFonts w:ascii="Times New Roman" w:hAnsi="Times New Roman"/>
          <w:b w:val="0"/>
          <w:i w:val="0"/>
          <w:sz w:val="26"/>
        </w:rPr>
        <w:t>Phí gửi xe: xe máy 5.000 đồng/lượt (qua đêm 10.000 đồng); ô tô 25.000 đồng/4 giờ đầu, thêm 10.000 đồng/giờ. Người nhà ở lại dài ngày có thể đăng ký nhà lưu trú người nhà (nhà K, 60.000 đồng/người/đêm) tại Phòng Công tác xã hội.</w:t>
      </w:r>
    </w:p>
    <w:p>
      <w:pPr>
        <w:spacing w:after="80"/>
      </w:pPr>
      <w:r>
        <w:rPr>
          <w:rFonts w:ascii="Times New Roman" w:hAnsi="Times New Roman"/>
          <w:b/>
          <w:i w:val="0"/>
          <w:sz w:val="26"/>
        </w:rPr>
        <w:t>5. KÝ GỬI TÀI SẢN</w:t>
      </w:r>
    </w:p>
    <w:p>
      <w:pPr>
        <w:spacing w:after="80"/>
        <w:ind w:firstLine="680"/>
        <w:jc w:val="both"/>
      </w:pPr>
      <w:r>
        <w:rPr>
          <w:rFonts w:ascii="Times New Roman" w:hAnsi="Times New Roman"/>
          <w:b w:val="0"/>
          <w:i w:val="0"/>
          <w:sz w:val="26"/>
        </w:rPr>
        <w:t>Người bệnh phẫu thuật, người bệnh không có người nhà hoặc có tài sản giá trị có thể ký gửi tại Tổ Bảo vệ – An ninh trật tự (phòng ký gửi tầng 1 nhà A, điện thoại 0238.3.822.112) từ 07:00 đến 20:00, nhận phiếu ký gửi có chữ ký hai bên. Bệnh viện không chịu trách nhiệm đối với tài sản không ký gửi bị mất. Khi phát hiện mất tài sản, báo ngay điều dưỡng trưởng khoa và Tổ Bảo vệ để trích xuất camera.</w:t>
      </w:r>
    </w:p>
    <w:p>
      <w:pPr>
        <w:spacing w:after="80"/>
      </w:pPr>
      <w:r>
        <w:rPr>
          <w:rFonts w:ascii="Times New Roman" w:hAnsi="Times New Roman"/>
          <w:b/>
          <w:i w:val="0"/>
          <w:sz w:val="26"/>
        </w:rPr>
        <w:t>6. SUẤT ĂN VÀ DINH DƯỠNG</w:t>
      </w:r>
    </w:p>
    <w:p>
      <w:pPr>
        <w:spacing w:after="80"/>
        <w:ind w:firstLine="680"/>
        <w:jc w:val="both"/>
      </w:pPr>
      <w:r>
        <w:rPr>
          <w:rFonts w:ascii="Times New Roman" w:hAnsi="Times New Roman"/>
          <w:b w:val="0"/>
          <w:i w:val="0"/>
          <w:sz w:val="26"/>
        </w:rPr>
        <w:t>Khoa Dinh dưỡng – Tiết chế cung cấp suất ăn bệnh lý theo chỉ định của bác sĩ (giá 35.000–60.000 đồng/suất; miễn phí đối với người bệnh thuộc hộ nghèo và người bệnh phòng VIP). Căng-tin bệnh viện (tầng 1 nhà D) mở 06:00–21:00. Người bệnh tiểu đường, suy thận, sau phẫu thuật tiêu hóa không tự ý ăn thức ăn mang từ ngoài khi chưa hỏi ý kiến bác sĩ.</w:t>
      </w:r>
    </w:p>
    <w:p>
      <w:pPr>
        <w:spacing w:after="80"/>
      </w:pPr>
      <w:r>
        <w:rPr>
          <w:rFonts w:ascii="Times New Roman" w:hAnsi="Times New Roman"/>
          <w:b/>
          <w:i w:val="0"/>
          <w:sz w:val="26"/>
        </w:rPr>
        <w:t>7. THANH TOÁN VÀ THỦ TỤC RA VIỆN</w:t>
      </w:r>
    </w:p>
    <w:p>
      <w:pPr>
        <w:spacing w:after="80"/>
        <w:ind w:firstLine="680"/>
        <w:jc w:val="both"/>
      </w:pPr>
      <w:r>
        <w:rPr>
          <w:rFonts w:ascii="Times New Roman" w:hAnsi="Times New Roman"/>
          <w:b w:val="0"/>
          <w:i w:val="0"/>
          <w:sz w:val="26"/>
        </w:rPr>
        <w:t>Khi có chỉ định ra viện, điều dưỡng khoa hoàn thiện hồ sơ và chuyển bảng kê chi phí đến Phòng Tài chính kế toán. Người bệnh hoặc người nhà mang phiếu tạm ứng, CCCD, thẻ người nhà đến quầy thanh toán ra viện (quầy 7–8) từ 08:00 đến 16:30 các ngày làm việc; ngoài giờ và ngày nghỉ thanh toán tại quầy trực cạnh Khoa Cấp cứu. Thời gian làm thủ tục trung bình 30 phút.</w:t>
      </w:r>
    </w:p>
    <w:p>
      <w:pPr>
        <w:spacing w:after="80"/>
        <w:ind w:firstLine="680"/>
        <w:jc w:val="both"/>
      </w:pPr>
      <w:r>
        <w:rPr>
          <w:rFonts w:ascii="Times New Roman" w:hAnsi="Times New Roman"/>
          <w:b w:val="0"/>
          <w:i w:val="0"/>
          <w:sz w:val="26"/>
        </w:rPr>
        <w:t>Người bệnh nhận: giấy ra viện, bảng kê chi phí khám chữa bệnh (mẫu 01/BV), hóa đơn điện tử (gửi qua email hoặc Zalo), đơn thuốc, giấy hẹn tái khám, giấy chứng nhận nghỉ việc hưởng BHXH (nếu có yêu cầu). Kiểm tra lại họ tên, số ngày điều trị trước khi rời quầy. Bản sao hồ sơ bệnh án (nếu cần) đề nghị tại Phòng Kế hoạch tổng hợp theo quy trình QT.KHTH.05.</w:t>
      </w:r>
    </w:p>
    <w:p>
      <w:pPr>
        <w:spacing w:after="80"/>
        <w:ind w:firstLine="680"/>
        <w:jc w:val="both"/>
      </w:pPr>
      <w:r>
        <w:rPr>
          <w:rFonts w:ascii="Times New Roman" w:hAnsi="Times New Roman"/>
          <w:b w:val="0"/>
          <w:i w:val="0"/>
          <w:sz w:val="26"/>
        </w:rPr>
        <w:t>Người bệnh có thể đăng ký nhận hoàn tiền tạm ứng thừa qua chuyển khoản; tiền được chuyển trong 03 ngày làm việc. Hóa đơn điện tử tra cứu trên website bệnh viện bằng mã người bệnh và mã tra cứu in trên bảng kê.</w:t>
      </w:r>
    </w:p>
    <w:p>
      <w:pPr>
        <w:spacing w:after="80"/>
      </w:pPr>
      <w:r>
        <w:rPr>
          <w:rFonts w:ascii="Times New Roman" w:hAnsi="Times New Roman"/>
          <w:b/>
          <w:i w:val="0"/>
          <w:sz w:val="26"/>
        </w:rPr>
        <w:t>8. LIÊN HỆ VÀ GÓP Ý</w:t>
      </w:r>
    </w:p>
    <w:tbl>
      <w:tblPr>
        <w:tblStyle w:val="TableGrid"/>
        <w:tblW w:type="auto" w:w="0"/>
        <w:tblLook w:firstColumn="1" w:firstRow="1" w:lastColumn="0" w:lastRow="0" w:noHBand="0" w:noVBand="1" w:val="04A0"/>
      </w:tblPr>
      <w:tblGrid>
        <w:gridCol w:w="4535"/>
        <w:gridCol w:w="4535"/>
      </w:tblGrid>
      <w:tr>
        <w:tc>
          <w:tcPr>
            <w:tcW w:type="dxa" w:w="5102"/>
          </w:tcPr>
          <w:p>
            <w:pPr>
              <w:spacing w:after="0"/>
              <w:jc w:val="center"/>
            </w:pPr>
            <w:r/>
            <w:r>
              <w:rPr>
                <w:rFonts w:ascii="Times New Roman" w:hAnsi="Times New Roman"/>
                <w:b/>
                <w:sz w:val="22"/>
              </w:rPr>
              <w:t>Nội dung</w:t>
            </w:r>
          </w:p>
        </w:tc>
        <w:tc>
          <w:tcPr>
            <w:tcW w:type="dxa" w:w="3969"/>
          </w:tcPr>
          <w:p>
            <w:pPr>
              <w:spacing w:after="0"/>
              <w:jc w:val="center"/>
            </w:pPr>
            <w:r/>
            <w:r>
              <w:rPr>
                <w:rFonts w:ascii="Times New Roman" w:hAnsi="Times New Roman"/>
                <w:b/>
                <w:sz w:val="22"/>
              </w:rPr>
              <w:t>Liên hệ</w:t>
            </w:r>
          </w:p>
        </w:tc>
      </w:tr>
      <w:tr>
        <w:tc>
          <w:tcPr>
            <w:tcW w:type="dxa" w:w="5102"/>
          </w:tcPr>
          <w:p>
            <w:pPr>
              <w:spacing w:after="0"/>
            </w:pPr>
            <w:r/>
            <w:r>
              <w:rPr>
                <w:rFonts w:ascii="Times New Roman" w:hAnsi="Times New Roman"/>
                <w:sz w:val="22"/>
              </w:rPr>
              <w:t>Cấp cứu 24/7</w:t>
            </w:r>
          </w:p>
        </w:tc>
        <w:tc>
          <w:tcPr>
            <w:tcW w:type="dxa" w:w="3969"/>
          </w:tcPr>
          <w:p>
            <w:pPr>
              <w:spacing w:after="0"/>
            </w:pPr>
            <w:r/>
            <w:r>
              <w:rPr>
                <w:rFonts w:ascii="Times New Roman" w:hAnsi="Times New Roman"/>
                <w:sz w:val="22"/>
              </w:rPr>
              <w:t>0238.3.822.115</w:t>
            </w:r>
          </w:p>
        </w:tc>
      </w:tr>
      <w:tr>
        <w:tc>
          <w:tcPr>
            <w:tcW w:type="dxa" w:w="5102"/>
          </w:tcPr>
          <w:p>
            <w:pPr>
              <w:spacing w:after="0"/>
            </w:pPr>
            <w:r/>
            <w:r>
              <w:rPr>
                <w:rFonts w:ascii="Times New Roman" w:hAnsi="Times New Roman"/>
                <w:sz w:val="22"/>
              </w:rPr>
              <w:t>Tổng đài bệnh viện</w:t>
            </w:r>
          </w:p>
        </w:tc>
        <w:tc>
          <w:tcPr>
            <w:tcW w:type="dxa" w:w="3969"/>
          </w:tcPr>
          <w:p>
            <w:pPr>
              <w:spacing w:after="0"/>
            </w:pPr>
            <w:r/>
            <w:r>
              <w:rPr>
                <w:rFonts w:ascii="Times New Roman" w:hAnsi="Times New Roman"/>
                <w:sz w:val="22"/>
              </w:rPr>
              <w:t>0238.3.822.016</w:t>
            </w:r>
          </w:p>
        </w:tc>
      </w:tr>
      <w:tr>
        <w:tc>
          <w:tcPr>
            <w:tcW w:type="dxa" w:w="5102"/>
          </w:tcPr>
          <w:p>
            <w:pPr>
              <w:spacing w:after="0"/>
            </w:pPr>
            <w:r/>
            <w:r>
              <w:rPr>
                <w:rFonts w:ascii="Times New Roman" w:hAnsi="Times New Roman"/>
                <w:sz w:val="22"/>
              </w:rPr>
              <w:t>Đặt lịch khám, tái khám</w:t>
            </w:r>
          </w:p>
        </w:tc>
        <w:tc>
          <w:tcPr>
            <w:tcW w:type="dxa" w:w="3969"/>
          </w:tcPr>
          <w:p>
            <w:pPr>
              <w:spacing w:after="0"/>
            </w:pPr>
            <w:r/>
            <w:r>
              <w:rPr>
                <w:rFonts w:ascii="Times New Roman" w:hAnsi="Times New Roman"/>
                <w:sz w:val="22"/>
              </w:rPr>
              <w:t>0238.3.822.999 (06:30–17:00)</w:t>
            </w:r>
          </w:p>
        </w:tc>
      </w:tr>
      <w:tr>
        <w:tc>
          <w:tcPr>
            <w:tcW w:type="dxa" w:w="5102"/>
          </w:tcPr>
          <w:p>
            <w:pPr>
              <w:spacing w:after="0"/>
            </w:pPr>
            <w:r/>
            <w:r>
              <w:rPr>
                <w:rFonts w:ascii="Times New Roman" w:hAnsi="Times New Roman"/>
                <w:sz w:val="22"/>
              </w:rPr>
              <w:t>Phòng Công tác xã hội (hỗ trợ người bệnh, từ thiện)</w:t>
            </w:r>
          </w:p>
        </w:tc>
        <w:tc>
          <w:tcPr>
            <w:tcW w:type="dxa" w:w="3969"/>
          </w:tcPr>
          <w:p>
            <w:pPr>
              <w:spacing w:after="0"/>
            </w:pPr>
            <w:r/>
            <w:r>
              <w:rPr>
                <w:rFonts w:ascii="Times New Roman" w:hAnsi="Times New Roman"/>
                <w:sz w:val="22"/>
              </w:rPr>
              <w:t>0238.3.822.107</w:t>
            </w:r>
          </w:p>
        </w:tc>
      </w:tr>
      <w:tr>
        <w:tc>
          <w:tcPr>
            <w:tcW w:type="dxa" w:w="5102"/>
          </w:tcPr>
          <w:p>
            <w:pPr>
              <w:spacing w:after="0"/>
            </w:pPr>
            <w:r/>
            <w:r>
              <w:rPr>
                <w:rFonts w:ascii="Times New Roman" w:hAnsi="Times New Roman"/>
                <w:sz w:val="22"/>
              </w:rPr>
              <w:t>Phòng Tài chính kế toán (viện phí, hoàn tạm ứng)</w:t>
            </w:r>
          </w:p>
        </w:tc>
        <w:tc>
          <w:tcPr>
            <w:tcW w:type="dxa" w:w="3969"/>
          </w:tcPr>
          <w:p>
            <w:pPr>
              <w:spacing w:after="0"/>
            </w:pPr>
            <w:r/>
            <w:r>
              <w:rPr>
                <w:rFonts w:ascii="Times New Roman" w:hAnsi="Times New Roman"/>
                <w:sz w:val="22"/>
              </w:rPr>
              <w:t>0238.3.822.104</w:t>
            </w:r>
          </w:p>
        </w:tc>
      </w:tr>
      <w:tr>
        <w:tc>
          <w:tcPr>
            <w:tcW w:type="dxa" w:w="5102"/>
          </w:tcPr>
          <w:p>
            <w:pPr>
              <w:spacing w:after="0"/>
            </w:pPr>
            <w:r/>
            <w:r>
              <w:rPr>
                <w:rFonts w:ascii="Times New Roman" w:hAnsi="Times New Roman"/>
                <w:sz w:val="22"/>
              </w:rPr>
              <w:t>Đường dây nóng phản ánh thái độ phục vụ</w:t>
            </w:r>
          </w:p>
        </w:tc>
        <w:tc>
          <w:tcPr>
            <w:tcW w:type="dxa" w:w="3969"/>
          </w:tcPr>
          <w:p>
            <w:pPr>
              <w:spacing w:after="0"/>
            </w:pPr>
            <w:r/>
            <w:r>
              <w:rPr>
                <w:rFonts w:ascii="Times New Roman" w:hAnsi="Times New Roman"/>
                <w:sz w:val="22"/>
              </w:rPr>
              <w:t>1900 9095 (Bộ Y tế) · 0238.3.822.016 (máy lẻ 101)</w:t>
            </w:r>
          </w:p>
        </w:tc>
      </w:tr>
      <w:tr>
        <w:tc>
          <w:tcPr>
            <w:tcW w:type="dxa" w:w="5102"/>
          </w:tcPr>
          <w:p>
            <w:pPr>
              <w:spacing w:after="0"/>
            </w:pPr>
            <w:r/>
            <w:r>
              <w:rPr>
                <w:rFonts w:ascii="Times New Roman" w:hAnsi="Times New Roman"/>
                <w:sz w:val="22"/>
              </w:rPr>
              <w:t>Email</w:t>
            </w:r>
          </w:p>
        </w:tc>
        <w:tc>
          <w:tcPr>
            <w:tcW w:type="dxa" w:w="3969"/>
          </w:tcPr>
          <w:p>
            <w:pPr>
              <w:spacing w:after="0"/>
            </w:pPr>
            <w:r/>
            <w:r>
              <w:rPr>
                <w:rFonts w:ascii="Times New Roman" w:hAnsi="Times New Roman"/>
                <w:sz w:val="22"/>
              </w:rPr>
              <w:t>bvtw@bvtwgia.vn</w:t>
            </w:r>
          </w:p>
        </w:tc>
      </w:tr>
    </w:tbl>
    <w:p>
      <w:pPr>
        <w:spacing w:after="80"/>
        <w:ind w:firstLine="680"/>
        <w:jc w:val="both"/>
      </w:pPr>
      <w:r>
        <w:rPr>
          <w:rFonts w:ascii="Times New Roman" w:hAnsi="Times New Roman"/>
          <w:b w:val="0"/>
          <w:i/>
          <w:sz w:val="26"/>
        </w:rPr>
        <w:t>Chúc Quý người bệnh sớm bình phục. Ý kiến góp ý xin gửi vào hòm thư góp ý tại mỗi khoa hoặc phiếu khảo sát hài lòng khi ra viện.</w:t>
      </w:r>
    </w:p>
    <w:p/>
    <w:tbl>
      <w:tblPr>
        <w:tblW w:type="auto" w:w="0"/>
        <w:tblLayout w:type="fixed"/>
        <w:tblLook w:firstColumn="1" w:firstRow="1" w:lastColumn="0" w:lastRow="0" w:noHBand="0" w:noVBand="1" w:val="04A0"/>
      </w:tblPr>
      <w:tblGrid>
        <w:gridCol w:w="4989"/>
        <w:gridCol w:w="4082"/>
      </w:tblGrid>
      <w:tr>
        <w:tc>
          <w:tcPr>
            <w:tcW w:type="dxa" w:w="4535"/>
          </w:tcPr>
          <w:p>
            <w:r/>
            <w:r>
              <w:rPr>
                <w:b/>
                <w:i/>
                <w:sz w:val="23"/>
              </w:rPr>
              <w:t>Nơi nhận:</w:t>
            </w:r>
          </w:p>
          <w:p>
            <w:pPr>
              <w:spacing w:after="0"/>
            </w:pPr>
            <w:r>
              <w:rPr>
                <w:sz w:val="22"/>
              </w:rPr>
              <w:t>- Các khoa lâm sàng;</w:t>
            </w:r>
          </w:p>
          <w:p>
            <w:pPr>
              <w:spacing w:after="0"/>
            </w:pPr>
            <w:r>
              <w:rPr>
                <w:sz w:val="22"/>
              </w:rPr>
              <w:t>- Phòng CTXH, TCKT, KHTH;</w:t>
            </w:r>
          </w:p>
          <w:p>
            <w:pPr>
              <w:spacing w:after="0"/>
            </w:pPr>
            <w:r>
              <w:rPr>
                <w:sz w:val="22"/>
              </w:rPr>
              <w:t>- Website bệnh viện;</w:t>
            </w:r>
          </w:p>
          <w:p>
            <w:pPr>
              <w:spacing w:after="0"/>
            </w:pPr>
            <w:r>
              <w:rPr>
                <w:sz w:val="22"/>
              </w:rPr>
              <w:t>- Lưu: VT, CTXH;</w:t>
            </w:r>
          </w:p>
        </w:tc>
        <w:tc>
          <w:tcPr>
            <w:tcW w:type="dxa" w:w="4535"/>
          </w:tcPr>
          <w:p>
            <w:pPr>
              <w:spacing w:after="0"/>
              <w:jc w:val="center"/>
            </w:pPr>
            <w:r/>
            <w:r>
              <w:rPr>
                <w:b/>
                <w:sz w:val="25"/>
              </w:rPr>
              <w:t>KT. GIÁM ĐỐC</w:t>
            </w:r>
          </w:p>
          <w:p>
            <w:pPr>
              <w:spacing w:after="0"/>
              <w:jc w:val="center"/>
            </w:pPr>
            <w:r>
              <w:rPr>
                <w:b/>
                <w:sz w:val="25"/>
              </w:rPr>
              <w:t>PHÓ GIÁM ĐỐC</w:t>
            </w:r>
          </w:p>
          <w:p>
            <w:pPr>
              <w:jc w:val="center"/>
            </w:pPr>
            <w:r>
              <w:rPr>
                <w:i/>
                <w:sz w:val="24"/>
              </w:rPr>
              <w:t>(Đã ký)</w:t>
            </w:r>
          </w:p>
          <w:p/>
          <w:p/>
          <w:p>
            <w:pPr>
              <w:jc w:val="center"/>
            </w:pPr>
            <w:r>
              <w:rPr>
                <w:b/>
                <w:sz w:val="26"/>
              </w:rPr>
              <w:t>TS.BS. Ngô Quang Hiếu</w:t>
            </w:r>
          </w:p>
        </w:tc>
      </w:tr>
    </w:tbl>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